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B5" w:rsidRPr="00461CB5" w:rsidRDefault="00461CB5" w:rsidP="007F0B1A">
      <w:r w:rsidRPr="00461CB5">
        <w:t>Безпристрастност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1. Обхват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1.1. Настоящата процедура регламентира общите изисквания за осигуряване безпристрастността при извършване на лабораторните дейности и определя стратегията за управление на рисковете застрашаващи безпристрастността. Процедурата обхваща определянето на рисковете, които произтичат от дейностите на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>, от неговите взаимоотношения и от взаимоотношения на неговия персонал.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2. Отговорности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2.1. </w:t>
      </w:r>
      <w:r>
        <w:rPr>
          <w:rFonts w:ascii="Verdana" w:hAnsi="Verdana" w:cstheme="minorHAnsi"/>
          <w:sz w:val="18"/>
          <w:szCs w:val="18"/>
        </w:rPr>
        <w:t>Ръководителят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носи отговорност за осигуряване на безпристрастността при извършване на лабораторните дейности, идентифицира и оценява рисковете за безпристрастността. При наличие на риск взема решения за предприемане на действия за елиминиране или минимизиране на риска. </w:t>
      </w:r>
      <w:r>
        <w:rPr>
          <w:rFonts w:ascii="Verdana" w:hAnsi="Verdana" w:cstheme="minorHAnsi"/>
          <w:sz w:val="18"/>
          <w:szCs w:val="18"/>
        </w:rPr>
        <w:t>Ръководителят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се ангажира с безпристрастността по отношение на лабораторните дейности и потвърждава своя ангажимент за осигуряване на безпристрастността.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разглежда и оценява резултатите от управлението на рисковете за безпристрастността.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2.2. Персоналът се задължава да избягва взаимоотношения заплашващи безпристрастността, като не позволява търговски, финансов или друг натиск да поставя под съмнение безпристрастността на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>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3. Описание на дейностите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3.1. Общи положения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3.1.1. Всички лабораторни дейности са структурирани и управлявани, така че да се запазва безпристрастността. За осигуряване безпристрастността при извършване на лабораторните дейности, в степен която се изисква с т.4.1 от стандарт БДС EN ISO/IEC 17025:2018,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 xml:space="preserve"> прилага следният механизъм: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– </w:t>
      </w:r>
      <w:r>
        <w:rPr>
          <w:rFonts w:ascii="Verdana" w:hAnsi="Verdana" w:cstheme="minorHAnsi"/>
          <w:sz w:val="18"/>
          <w:szCs w:val="18"/>
        </w:rPr>
        <w:t>Ръководителят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се ангажира с безпристрастността по отношение на лабораторните дейности. С декларация Ф 4.1-1 „Декларация на ръководството за осигуряване на безпристрастността”, потвърждава своя ангажимент за осигуряване на безпристрастността, управлението на конфликт на интереси и поема отговорност за обективността на своите действия.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прави публично достояние съответните декларирани изявления и политики.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Всеки член от състава на персонала се запознава с правилата за организация на работа и вътрешния ред, документирани с процедура П 5.0-2 „Правила за организацията на работа и вътрешния ред” и подписва от свое име декларация Ф 4.1-2 „Декларация за безпристрастност”. Посредством декларацията, персоналът се задължава да спазва основните принципи: обективност, липса на конфликт на интереси, липса на пристрастие, липса на дискриминация, неутралност, честност, откритост, справедливост, безкористност, уравновесеност, като с това не допуска търговски, финансов или друг натиск, както и въздействия, които могат да повлияят и компрометират безпристрастността, да съдейства за разрешаване на всяка възникнала ситуация, която му е станала известна и която може да представлява заплаха за безпристрастността, да съдейства в управлението на конфликт на интереси и поема отговорност за обективността на своите действия.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– С Ф 4.1-3 „Декларация по отношение на свързани органи/лица”, </w:t>
      </w:r>
      <w:r>
        <w:rPr>
          <w:rFonts w:ascii="Verdana" w:hAnsi="Verdana" w:cstheme="minorHAnsi"/>
          <w:sz w:val="18"/>
          <w:szCs w:val="18"/>
        </w:rPr>
        <w:t>ръководителят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, както и всеки член на персонала, декларират отношения със свързани органи и заинтересувани лица, които пораждат конфликт на интереси и водят до възникване на основателен риск за безпристрастността.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lastRenderedPageBreak/>
        <w:t xml:space="preserve">За избягване на вероятността от извършване на лабораторни дейности за свързани органи и заинтересувани лица, </w:t>
      </w:r>
      <w:r w:rsidR="006F2A74">
        <w:rPr>
          <w:rFonts w:ascii="Verdana" w:hAnsi="Verdana" w:cstheme="minorHAnsi"/>
          <w:sz w:val="18"/>
          <w:szCs w:val="18"/>
        </w:rPr>
        <w:t xml:space="preserve">ръководителя на СЛИ </w:t>
      </w:r>
      <w:r w:rsidRPr="00461CB5">
        <w:rPr>
          <w:rFonts w:ascii="Verdana" w:hAnsi="Verdana" w:cstheme="minorHAnsi"/>
          <w:sz w:val="18"/>
          <w:szCs w:val="18"/>
        </w:rPr>
        <w:t xml:space="preserve"> и персонала определен за извършване на заявени от клиент лабораторни дейности, декларират към всяко получено заявление Ф 7.1-4 „Заявление за предоставяне на услуги”, наличието на конфликт на интереси, търговски, финансов или друг натиск, както и въздействия от страна на клиента (възложителя), които могат да повлияят и компрометират тяхната безпристрастност и обективност. При наличие на риск за безпристрастността,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има правото да откаже изпълнението на заявени лабораторни дейности. При наличие на риск,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има правото да не допуска съответен служител до провеждане на заявени лабораторни дейности, а в случай че не е възможно да се осигури безпристрастен персонал, да отказва изпълнението на заявени лабораторни дейности. При наличие на риск за безпристрастността на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, същият отказва изпълнението на заявени лабораторни дейности. 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Всеки служител, който умишлено не е съобщил за дадена заплаха или е участвал доброволно в процес, представляващ риск за безпристрастността, се санкционира в размер и вид определен от </w:t>
      </w:r>
      <w:r>
        <w:rPr>
          <w:rFonts w:ascii="Verdana" w:hAnsi="Verdana" w:cstheme="minorHAnsi"/>
          <w:sz w:val="18"/>
          <w:szCs w:val="18"/>
        </w:rPr>
        <w:t>ръководителя на лабораторията.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Декларираната информация се използва от </w:t>
      </w:r>
      <w:r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като входен елемент при идентифициране на рисковете за безпристрастността, породени от взаимовръзките на дружеството и персонала.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– В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 xml:space="preserve"> се прилага единен подход за управление на рисковете за безпристрастността. Като рискове за безпристрастността се считат случващи се събития, които биха могли да повлияят върху безпристрастността на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>или неговия персонал. Управлението на рисковете за безпристрастността е постоянен процес, а не постоянно повтарящо се действие. Стратегията за управление на рисковете застрашаващи безпристрастността, условно може да бъде разделена в три основни процеса: идентификация на рисковете, анализ и оценка на рисковете, реакция на рисковете. Всички действия се явяват входен елемент за прегледа от ръководството.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3.2. Идентификация на рисковете за безпристрастността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3.2.1. Рисковете за безпристрастността се идентифицират от </w:t>
      </w:r>
      <w:r>
        <w:rPr>
          <w:rFonts w:ascii="Verdana" w:hAnsi="Verdana" w:cstheme="minorHAnsi"/>
          <w:sz w:val="18"/>
          <w:szCs w:val="18"/>
        </w:rPr>
        <w:t>ръков</w:t>
      </w:r>
      <w:r w:rsidR="006F2A74">
        <w:rPr>
          <w:rFonts w:ascii="Verdana" w:hAnsi="Verdana" w:cstheme="minorHAnsi"/>
          <w:sz w:val="18"/>
          <w:szCs w:val="18"/>
        </w:rPr>
        <w:t>о</w:t>
      </w:r>
      <w:r>
        <w:rPr>
          <w:rFonts w:ascii="Verdana" w:hAnsi="Verdana" w:cstheme="minorHAnsi"/>
          <w:sz w:val="18"/>
          <w:szCs w:val="18"/>
        </w:rPr>
        <w:t>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и документират с формуляр Ф 4.1-4 „Регистър на рисковете за безпристрастността”. От съществено значение при първоначалната идентификация на рисковете е: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тяхното възможно най-пълно откриване, тъй като съществува голяма вероятност рисковете, които не са идентифицирани в първоначалната фаза на идентификация, да не бъдат открити никога;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моментът на идентифициране на рисковете, тъй като колкото по-рано е идентифициран един риск, толкова по- успешно ще бъде неговото противодействие.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3.2.2. Идентификацията на рисковете за безпристрастността включва рисковете произтичащи от следните аспекти, но не ограничено до: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– дейности на </w:t>
      </w:r>
      <w:r>
        <w:rPr>
          <w:rFonts w:ascii="Verdana" w:hAnsi="Verdana" w:cstheme="minorHAnsi"/>
          <w:sz w:val="18"/>
          <w:szCs w:val="18"/>
        </w:rPr>
        <w:t>СЛИ „Пътконтрол“</w:t>
      </w:r>
      <w:r w:rsidRPr="00461CB5">
        <w:rPr>
          <w:rFonts w:ascii="Verdana" w:hAnsi="Verdana" w:cstheme="minorHAnsi"/>
          <w:sz w:val="18"/>
          <w:szCs w:val="18"/>
        </w:rPr>
        <w:t xml:space="preserve">; собственост; ръководство/управление; персонал; споделени ресурси; финанси; договори; маркетинг; плащане на комисиони за продажби на предлаганите услуги или друг стимул за привличане на нови клиенти и други.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3.3. Анализ и оценка на рисковете за безпристрастността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3.3.1. Анализът на риска е съществен етап от процеса на управление на риска. Анализа на риска включва разглеждането, както на причините и източниците на риск, така и вероятността от настъпване и последиците от възникване на конкретните рискове. Анализът представлява просто описание на разполагаемата информацията за елементите на риска, който подлежи на оценяване. Оценката на риска е в рамка „съществува риск” или „не съществува риск”.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lastRenderedPageBreak/>
        <w:t xml:space="preserve">3.3.2. Анализът и оценката на риска се извършват от </w:t>
      </w:r>
      <w:r w:rsidR="00185F42"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и документират с формуляр Ф 4.1-4 „Регистър на рисковете за безпристрастността”.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3.4. Реакция на рисковете за безпристрастността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3.4.1. Когато идентифициран риск е оценен като „съществуващ” за безпристрастността, </w:t>
      </w:r>
      <w:r w:rsidR="00185F42">
        <w:rPr>
          <w:rFonts w:ascii="Verdana" w:hAnsi="Verdana" w:cstheme="minorHAnsi"/>
          <w:sz w:val="18"/>
          <w:szCs w:val="18"/>
        </w:rPr>
        <w:t>ръководителя на лаборатория</w:t>
      </w:r>
      <w:r w:rsidRPr="00461CB5">
        <w:rPr>
          <w:rFonts w:ascii="Verdana" w:hAnsi="Verdana" w:cstheme="minorHAnsi"/>
          <w:sz w:val="18"/>
          <w:szCs w:val="18"/>
        </w:rPr>
        <w:t xml:space="preserve"> обмисля подходящи действия за реакция в отговор на риска. Възможните реакции са насочени към действия за елиминиране или минимизиране на риска. Толериране на рисковете за безпристрастността не се допуска.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3.4.2. Действията, които се предприемат за елиминиране или минимизирането на рисковете се документират от </w:t>
      </w:r>
      <w:r w:rsidR="00561924">
        <w:rPr>
          <w:rFonts w:ascii="Verdana" w:hAnsi="Verdana" w:cstheme="minorHAnsi"/>
          <w:sz w:val="18"/>
          <w:szCs w:val="18"/>
        </w:rPr>
        <w:t>ръководителя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с формуляр Ф 4.1-4 „Регистър на рисковете за безпристрастността”.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3.5. Наблюдение и докладване на рисковете за безпристрастността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3.5.1. Осигуряването на ефикасност на процеса на управление на рисковете за безпристрастността изисква систематично наблюдение на всеки негов етап и периодично докладване на резултатите от предприетите действия (реакции).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3.5.2. За осъществяване на систематично наблюдение, но не по-малко от веднъж на всеки 6 (шест) месеца, </w:t>
      </w:r>
      <w:r w:rsidR="00561924">
        <w:rPr>
          <w:rFonts w:ascii="Verdana" w:hAnsi="Verdana" w:cstheme="minorHAnsi"/>
          <w:sz w:val="18"/>
          <w:szCs w:val="18"/>
        </w:rPr>
        <w:t>ръководителя  на лабораторията</w:t>
      </w:r>
      <w:r w:rsidRPr="00461CB5">
        <w:rPr>
          <w:rFonts w:ascii="Verdana" w:hAnsi="Verdana" w:cstheme="minorHAnsi"/>
          <w:sz w:val="18"/>
          <w:szCs w:val="18"/>
        </w:rPr>
        <w:t xml:space="preserve"> преразглежда документираният регистър с рискове за безпристрастността. С Ф 4.1-5 „Доклад от наблюдение на рисковете за безпристрастността” изготвя доклад, включващ информация отнасяща се до: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предприетите действия във връзка с процеса на управление на рисковете за съответният период от време;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изпълнението на планираните действия, информация за ефикасността им и в случай, че те не са били ефикасни, анализ на причините за това;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настъпила ли е промяна в идентифицираните рискове за съответният период от време;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– нововъзникнали обстоятелства, които водят до промяна на регистъра на рисковете за безпристрастността.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Докладът от наблюдение на рисковете за безпристрастността се предоставя за сведение на персонала.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При възникване на събития, които биха могли да окажат влияние върху безпристрастността (промяна в организация, управление, структура, състав на персонала и др.), идентифицираните рискове се преразглеждат извънредно, без да се изчаква редовния преглед. Определени рискове могат да бъдат преразглеждани и по често, в зависимост от тяхната специфика или особена значимост. Някои съществени рискове могат да изискват и ежедневен преглед или преглед преди извършване на лабораторните дейности.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4. Документация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4.1. Всички записи, с които </w:t>
      </w:r>
      <w:r w:rsidR="00561924">
        <w:rPr>
          <w:rFonts w:ascii="Verdana" w:hAnsi="Verdana" w:cstheme="minorHAnsi"/>
          <w:sz w:val="18"/>
          <w:szCs w:val="18"/>
        </w:rPr>
        <w:t>СЛИ „ Пътконтрол“</w:t>
      </w:r>
      <w:r w:rsidRPr="00461CB5">
        <w:rPr>
          <w:rFonts w:ascii="Verdana" w:hAnsi="Verdana" w:cstheme="minorHAnsi"/>
          <w:sz w:val="18"/>
          <w:szCs w:val="18"/>
        </w:rPr>
        <w:t xml:space="preserve">потвърждава, че изискванията на настоящата процедура са изпълнени ефикасно, се съставят в бланки на позованите формуляри от системата за управление и съхраняват на хартиен носител в условия, които гарантират защитата, запазването, достъпа и конфиденциалността на информацията.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4.2. Съставените във връзка с изпълнението на настоящата процедура записи се управляват съгласно процедура П 8.4-1 „Управление на записите”.</w:t>
      </w:r>
    </w:p>
    <w:p w:rsidR="00561924" w:rsidRDefault="00561924" w:rsidP="00461CB5">
      <w:pPr>
        <w:jc w:val="both"/>
        <w:rPr>
          <w:rFonts w:ascii="Verdana" w:hAnsi="Verdana" w:cstheme="minorHAnsi"/>
          <w:b/>
          <w:sz w:val="18"/>
          <w:szCs w:val="18"/>
        </w:rPr>
      </w:pPr>
    </w:p>
    <w:p w:rsidR="00561924" w:rsidRDefault="00561924" w:rsidP="00461CB5">
      <w:pPr>
        <w:jc w:val="both"/>
        <w:rPr>
          <w:rFonts w:ascii="Verdana" w:hAnsi="Verdana" w:cstheme="minorHAnsi"/>
          <w:b/>
          <w:sz w:val="18"/>
          <w:szCs w:val="18"/>
        </w:rPr>
      </w:pPr>
    </w:p>
    <w:p w:rsidR="00561924" w:rsidRDefault="00561924" w:rsidP="00461CB5">
      <w:pPr>
        <w:jc w:val="both"/>
        <w:rPr>
          <w:rFonts w:ascii="Verdana" w:hAnsi="Verdana" w:cstheme="minorHAnsi"/>
          <w:b/>
          <w:sz w:val="18"/>
          <w:szCs w:val="18"/>
        </w:rPr>
      </w:pPr>
    </w:p>
    <w:p w:rsidR="00461CB5" w:rsidRPr="00561924" w:rsidRDefault="00461CB5" w:rsidP="00461CB5">
      <w:pPr>
        <w:jc w:val="both"/>
        <w:rPr>
          <w:rFonts w:ascii="Verdana" w:hAnsi="Verdana" w:cstheme="minorHAnsi"/>
          <w:b/>
          <w:sz w:val="18"/>
          <w:szCs w:val="18"/>
        </w:rPr>
      </w:pPr>
      <w:r w:rsidRPr="00561924">
        <w:rPr>
          <w:rFonts w:ascii="Verdana" w:hAnsi="Verdana" w:cstheme="minorHAnsi"/>
          <w:b/>
          <w:sz w:val="18"/>
          <w:szCs w:val="18"/>
        </w:rPr>
        <w:t>5. Съпътстващи документи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5.1. НСУ-17025 „Наръчник на система за управление - БДС EN ISO/IEC 17025:2018”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5.2. П 5.0-2 „Правила за организацията на работа и вътрешния ред”</w:t>
      </w:r>
      <w:bookmarkStart w:id="0" w:name="_GoBack"/>
      <w:bookmarkEnd w:id="0"/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5.3. П 8.4-1 „Управление на записите”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5.4. Ф 4.1-1 „Декларация на ръководството за осигуряване на безпристрастността”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5.5. Ф 4.1-2 „Декларация за безпристрастност”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5.6. Ф 4.1-3 „Декларация по отношение на свързани органи/лица”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5.7. Ф 4.1-4 „Регистър на рисковете за безпристрастността”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 xml:space="preserve">5.8. Ф 4.1-5 „Доклад от наблюдение на рисковете за безпристрастността”   </w:t>
      </w:r>
    </w:p>
    <w:p w:rsidR="00461CB5" w:rsidRPr="00461CB5" w:rsidRDefault="00461CB5" w:rsidP="00461CB5">
      <w:pPr>
        <w:jc w:val="both"/>
        <w:rPr>
          <w:rFonts w:ascii="Verdana" w:hAnsi="Verdana" w:cstheme="minorHAnsi"/>
          <w:sz w:val="18"/>
          <w:szCs w:val="18"/>
        </w:rPr>
      </w:pPr>
      <w:r w:rsidRPr="00461CB5">
        <w:rPr>
          <w:rFonts w:ascii="Verdana" w:hAnsi="Verdana" w:cstheme="minorHAnsi"/>
          <w:sz w:val="18"/>
          <w:szCs w:val="18"/>
        </w:rPr>
        <w:t>5.9. Ф 7.1-4 „Заявление за предоставяне на услуги”</w:t>
      </w:r>
    </w:p>
    <w:p w:rsidR="0071657C" w:rsidRDefault="0071657C" w:rsidP="00F36077">
      <w:pPr>
        <w:jc w:val="both"/>
        <w:rPr>
          <w:rFonts w:ascii="Verdana" w:hAnsi="Verdana" w:cstheme="minorHAnsi"/>
          <w:sz w:val="18"/>
          <w:szCs w:val="18"/>
        </w:rPr>
      </w:pPr>
      <w:r w:rsidRPr="00147B63">
        <w:rPr>
          <w:rFonts w:ascii="Verdana" w:hAnsi="Verdana" w:cstheme="minorHAnsi"/>
          <w:sz w:val="18"/>
          <w:szCs w:val="18"/>
        </w:rPr>
        <w:t>”</w:t>
      </w: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561924" w:rsidRDefault="00561924" w:rsidP="00F36077">
      <w:pPr>
        <w:jc w:val="both"/>
        <w:rPr>
          <w:rFonts w:ascii="Verdana" w:hAnsi="Verdana" w:cstheme="minorHAnsi"/>
          <w:sz w:val="18"/>
          <w:szCs w:val="18"/>
        </w:rPr>
      </w:pPr>
    </w:p>
    <w:p w:rsidR="00832C2E" w:rsidRPr="00C8691B" w:rsidRDefault="00832C2E" w:rsidP="008A17B7">
      <w:pPr>
        <w:rPr>
          <w:rFonts w:ascii="Verdana" w:hAnsi="Verdana"/>
          <w:sz w:val="18"/>
          <w:szCs w:val="18"/>
        </w:rPr>
      </w:pPr>
    </w:p>
    <w:sectPr w:rsidR="00832C2E" w:rsidRPr="00C8691B" w:rsidSect="009D40E2">
      <w:headerReference w:type="default" r:id="rId8"/>
      <w:footerReference w:type="default" r:id="rId9"/>
      <w:pgSz w:w="11906" w:h="16838"/>
      <w:pgMar w:top="851" w:right="851" w:bottom="851" w:left="851" w:header="567" w:footer="28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127" w:rsidRDefault="00C41127" w:rsidP="007D3947">
      <w:pPr>
        <w:spacing w:after="0" w:line="240" w:lineRule="auto"/>
      </w:pPr>
      <w:r>
        <w:separator/>
      </w:r>
    </w:p>
  </w:endnote>
  <w:endnote w:type="continuationSeparator" w:id="0">
    <w:p w:rsidR="00C41127" w:rsidRDefault="00C41127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426"/>
      <w:gridCol w:w="1315"/>
    </w:tblGrid>
    <w:tr w:rsidR="00770B00" w:rsidRPr="00E15B32" w:rsidTr="006710E1">
      <w:tc>
        <w:tcPr>
          <w:tcW w:w="2245" w:type="pct"/>
        </w:tcPr>
        <w:p w:rsidR="00770B00" w:rsidRPr="00E5725B" w:rsidRDefault="00C41127" w:rsidP="00770B00">
          <w:pPr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noProof/>
              <w:sz w:val="18"/>
              <w:szCs w:val="18"/>
              <w:lang w:eastAsia="bg-BG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margin-left:-18.75pt;margin-top:-1.2pt;width:546.65pt;height:0;z-index:251661312" o:connectortype="straight" strokeweight="3pt"/>
            </w:pict>
          </w:r>
          <w:r w:rsidR="00770B00" w:rsidRPr="00E5725B">
            <w:rPr>
              <w:rFonts w:ascii="Verdana" w:hAnsi="Verdana"/>
              <w:sz w:val="18"/>
              <w:szCs w:val="18"/>
            </w:rPr>
            <w:t xml:space="preserve">Съставил : </w:t>
          </w:r>
          <w:r w:rsidR="00291BC1">
            <w:rPr>
              <w:rFonts w:ascii="Verdana" w:hAnsi="Verdana"/>
              <w:sz w:val="18"/>
              <w:szCs w:val="18"/>
            </w:rPr>
            <w:t>Стоян Костов</w:t>
          </w:r>
        </w:p>
        <w:p w:rsidR="00770B00" w:rsidRPr="00E5725B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Отговорник </w:t>
          </w:r>
          <w:r w:rsidR="009D40E2" w:rsidRPr="00E5725B">
            <w:rPr>
              <w:rFonts w:ascii="Verdana" w:hAnsi="Verdana"/>
              <w:sz w:val="18"/>
              <w:szCs w:val="18"/>
            </w:rPr>
            <w:t>на системата за управление</w:t>
          </w:r>
        </w:p>
        <w:p w:rsidR="00770B00" w:rsidRPr="00291BC1" w:rsidRDefault="00770B00" w:rsidP="00E5725B">
          <w:pPr>
            <w:pStyle w:val="a5"/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Дата : </w:t>
          </w:r>
          <w:r w:rsidR="00561924">
            <w:rPr>
              <w:rFonts w:ascii="Verdana" w:hAnsi="Verdana"/>
              <w:sz w:val="18"/>
              <w:szCs w:val="18"/>
              <w:lang w:val="en-US"/>
            </w:rPr>
            <w:t>13</w:t>
          </w:r>
          <w:r w:rsidRPr="00E5725B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561924">
            <w:rPr>
              <w:rFonts w:ascii="Verdana" w:hAnsi="Verdana"/>
              <w:sz w:val="18"/>
              <w:szCs w:val="18"/>
            </w:rPr>
            <w:t>0</w:t>
          </w:r>
          <w:r w:rsidR="00FA794C">
            <w:rPr>
              <w:rFonts w:ascii="Verdana" w:hAnsi="Verdana"/>
              <w:sz w:val="18"/>
              <w:szCs w:val="18"/>
            </w:rPr>
            <w:t>1</w:t>
          </w:r>
          <w:r w:rsidR="00561924">
            <w:rPr>
              <w:rFonts w:ascii="Verdana" w:hAnsi="Verdana"/>
              <w:sz w:val="18"/>
              <w:szCs w:val="18"/>
              <w:lang w:val="en-US"/>
            </w:rPr>
            <w:t>.2023</w:t>
          </w:r>
        </w:p>
      </w:tc>
      <w:tc>
        <w:tcPr>
          <w:tcW w:w="2124" w:type="pct"/>
        </w:tcPr>
        <w:p w:rsidR="00770B00" w:rsidRPr="00E5725B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Утвърдил : </w:t>
          </w:r>
          <w:r w:rsidR="00291BC1">
            <w:rPr>
              <w:rFonts w:ascii="Verdana" w:hAnsi="Verdana"/>
              <w:sz w:val="18"/>
              <w:szCs w:val="18"/>
            </w:rPr>
            <w:t>инж.Мая Веселинска</w:t>
          </w:r>
        </w:p>
        <w:p w:rsidR="00770B00" w:rsidRPr="00E5725B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Ръководител </w:t>
          </w:r>
          <w:r w:rsidR="006710E1" w:rsidRPr="00E5725B">
            <w:rPr>
              <w:rFonts w:ascii="Verdana" w:hAnsi="Verdana"/>
              <w:sz w:val="18"/>
              <w:szCs w:val="18"/>
            </w:rPr>
            <w:t xml:space="preserve">на </w:t>
          </w:r>
          <w:r w:rsidRPr="00E5725B">
            <w:rPr>
              <w:rFonts w:ascii="Verdana" w:hAnsi="Verdana"/>
              <w:sz w:val="18"/>
              <w:szCs w:val="18"/>
            </w:rPr>
            <w:t>лаборатория</w:t>
          </w:r>
          <w:r w:rsidR="006710E1" w:rsidRPr="00E5725B">
            <w:rPr>
              <w:rFonts w:ascii="Verdana" w:hAnsi="Verdana"/>
              <w:sz w:val="18"/>
              <w:szCs w:val="18"/>
            </w:rPr>
            <w:t>та</w:t>
          </w:r>
        </w:p>
        <w:p w:rsidR="00770B00" w:rsidRPr="00291BC1" w:rsidRDefault="00770B00" w:rsidP="00E5725B">
          <w:pPr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Дата : </w:t>
          </w:r>
          <w:r w:rsidR="00561924">
            <w:rPr>
              <w:rFonts w:ascii="Verdana" w:hAnsi="Verdana"/>
              <w:sz w:val="18"/>
              <w:szCs w:val="18"/>
              <w:lang w:val="en-US"/>
            </w:rPr>
            <w:t>23</w:t>
          </w:r>
          <w:r w:rsidRPr="00E5725B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561924">
            <w:rPr>
              <w:rFonts w:ascii="Verdana" w:hAnsi="Verdana"/>
              <w:sz w:val="18"/>
              <w:szCs w:val="18"/>
            </w:rPr>
            <w:t>0</w:t>
          </w:r>
          <w:r w:rsidR="00FA794C">
            <w:rPr>
              <w:rFonts w:ascii="Verdana" w:hAnsi="Verdana"/>
              <w:sz w:val="18"/>
              <w:szCs w:val="18"/>
            </w:rPr>
            <w:t>1</w:t>
          </w:r>
          <w:r w:rsidR="00561924">
            <w:rPr>
              <w:rFonts w:ascii="Verdana" w:hAnsi="Verdana"/>
              <w:sz w:val="18"/>
              <w:szCs w:val="18"/>
              <w:lang w:val="en-US"/>
            </w:rPr>
            <w:t>.2023</w:t>
          </w:r>
        </w:p>
      </w:tc>
      <w:tc>
        <w:tcPr>
          <w:tcW w:w="631" w:type="pct"/>
          <w:vAlign w:val="bottom"/>
        </w:tcPr>
        <w:p w:rsidR="00770B00" w:rsidRPr="00291BC1" w:rsidRDefault="008A488B" w:rsidP="00E5725B">
          <w:pPr>
            <w:jc w:val="right"/>
            <w:rPr>
              <w:rFonts w:ascii="Verdana" w:hAnsi="Verdana"/>
              <w:sz w:val="18"/>
              <w:szCs w:val="18"/>
            </w:rPr>
          </w:pPr>
          <w:r w:rsidRPr="00E5725B">
            <w:rPr>
              <w:rFonts w:ascii="Verdana" w:hAnsi="Verdana"/>
              <w:sz w:val="18"/>
              <w:szCs w:val="18"/>
            </w:rPr>
            <w:t>В</w:t>
          </w:r>
          <w:r w:rsidR="009D40E2" w:rsidRPr="00E5725B">
            <w:rPr>
              <w:rFonts w:ascii="Verdana" w:hAnsi="Verdana"/>
              <w:sz w:val="18"/>
              <w:szCs w:val="18"/>
              <w:lang w:val="en-US"/>
            </w:rPr>
            <w:t xml:space="preserve"> </w:t>
          </w:r>
          <w:r w:rsidR="009D40E2" w:rsidRPr="00E5725B">
            <w:rPr>
              <w:rFonts w:ascii="Verdana" w:hAnsi="Verdana"/>
              <w:sz w:val="18"/>
              <w:szCs w:val="18"/>
            </w:rPr>
            <w:t xml:space="preserve">сила </w:t>
          </w:r>
          <w:r w:rsidRPr="00E5725B">
            <w:rPr>
              <w:rFonts w:ascii="Verdana" w:hAnsi="Verdana"/>
              <w:sz w:val="18"/>
              <w:szCs w:val="18"/>
            </w:rPr>
            <w:t xml:space="preserve">от :                                            </w:t>
          </w:r>
          <w:r w:rsidR="00561924">
            <w:rPr>
              <w:rFonts w:ascii="Verdana" w:hAnsi="Verdana"/>
              <w:sz w:val="18"/>
              <w:szCs w:val="18"/>
              <w:lang w:val="en-US"/>
            </w:rPr>
            <w:t>23</w:t>
          </w:r>
          <w:r w:rsidRPr="00E5725B">
            <w:rPr>
              <w:rFonts w:ascii="Verdana" w:hAnsi="Verdana"/>
              <w:sz w:val="18"/>
              <w:szCs w:val="18"/>
              <w:lang w:val="en-GB"/>
            </w:rPr>
            <w:t>.</w:t>
          </w:r>
          <w:r w:rsidR="00561924">
            <w:rPr>
              <w:rFonts w:ascii="Verdana" w:hAnsi="Verdana"/>
              <w:sz w:val="18"/>
              <w:szCs w:val="18"/>
            </w:rPr>
            <w:t>0</w:t>
          </w:r>
          <w:r w:rsidR="00FA794C">
            <w:rPr>
              <w:rFonts w:ascii="Verdana" w:hAnsi="Verdana"/>
              <w:sz w:val="18"/>
              <w:szCs w:val="18"/>
            </w:rPr>
            <w:t>1</w:t>
          </w:r>
          <w:r w:rsidR="00561924">
            <w:rPr>
              <w:rFonts w:ascii="Verdana" w:hAnsi="Verdana"/>
              <w:sz w:val="18"/>
              <w:szCs w:val="18"/>
              <w:lang w:val="en-GB"/>
            </w:rPr>
            <w:t>.2023</w:t>
          </w:r>
        </w:p>
      </w:tc>
    </w:tr>
  </w:tbl>
  <w:p w:rsidR="00770B00" w:rsidRPr="009D40E2" w:rsidRDefault="00770B00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127" w:rsidRDefault="00C41127" w:rsidP="007D3947">
      <w:pPr>
        <w:spacing w:after="0" w:line="240" w:lineRule="auto"/>
      </w:pPr>
      <w:r>
        <w:separator/>
      </w:r>
    </w:p>
  </w:footnote>
  <w:footnote w:type="continuationSeparator" w:id="0">
    <w:p w:rsidR="00C41127" w:rsidRDefault="00C41127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8"/>
      <w:gridCol w:w="6202"/>
    </w:tblGrid>
    <w:tr w:rsidR="007D3947" w:rsidTr="00F447EA">
      <w:tc>
        <w:tcPr>
          <w:tcW w:w="2024" w:type="pct"/>
        </w:tcPr>
        <w:p w:rsidR="007D3947" w:rsidRPr="00E5725B" w:rsidRDefault="00291BC1" w:rsidP="00291BC1">
          <w:pPr>
            <w:pStyle w:val="a3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  <w:lang w:val="en-US"/>
            </w:rPr>
            <w:drawing>
              <wp:inline distT="0" distB="0" distL="0" distR="0" wp14:anchorId="15C1B671" wp14:editId="4380DBE0">
                <wp:extent cx="774065" cy="5549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pct"/>
        </w:tcPr>
        <w:p w:rsidR="007D3947" w:rsidRPr="00E5725B" w:rsidRDefault="004B1D02" w:rsidP="007D3947">
          <w:pPr>
            <w:pStyle w:val="a3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П</w:t>
          </w:r>
          <w:r w:rsidR="001D544A" w:rsidRPr="00E5725B">
            <w:rPr>
              <w:rFonts w:ascii="Verdana" w:hAnsi="Verdana"/>
              <w:sz w:val="18"/>
              <w:szCs w:val="18"/>
            </w:rPr>
            <w:t xml:space="preserve"> 4.1-1</w:t>
          </w:r>
          <w:r w:rsidR="007D3947" w:rsidRPr="00E5725B">
            <w:rPr>
              <w:rFonts w:ascii="Verdana" w:hAnsi="Verdana"/>
              <w:sz w:val="18"/>
              <w:szCs w:val="18"/>
            </w:rPr>
            <w:t xml:space="preserve">: </w:t>
          </w:r>
          <w:r>
            <w:rPr>
              <w:rFonts w:ascii="Verdana" w:hAnsi="Verdana"/>
              <w:sz w:val="18"/>
              <w:szCs w:val="18"/>
            </w:rPr>
            <w:t>Безпристрастност</w:t>
          </w:r>
        </w:p>
        <w:p w:rsidR="007D3947" w:rsidRPr="00E5725B" w:rsidRDefault="006F2A74" w:rsidP="00E5725B">
          <w:pPr>
            <w:pStyle w:val="a3"/>
            <w:jc w:val="right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18"/>
              <w:szCs w:val="18"/>
            </w:rPr>
            <w:t>Версия 02</w:t>
          </w:r>
          <w:r w:rsidR="00461CB5">
            <w:rPr>
              <w:rFonts w:ascii="Verdana" w:hAnsi="Verdana"/>
              <w:sz w:val="18"/>
              <w:szCs w:val="18"/>
            </w:rPr>
            <w:t>, Ревизия 01</w:t>
          </w:r>
          <w:r w:rsidR="007D3947" w:rsidRPr="00E5725B">
            <w:rPr>
              <w:rFonts w:ascii="Verdana" w:hAnsi="Verdana"/>
              <w:sz w:val="18"/>
              <w:szCs w:val="18"/>
            </w:rPr>
            <w:t xml:space="preserve"> от </w:t>
          </w:r>
          <w:r w:rsidR="00461CB5">
            <w:rPr>
              <w:rFonts w:ascii="Verdana" w:hAnsi="Verdana"/>
              <w:sz w:val="18"/>
              <w:szCs w:val="18"/>
            </w:rPr>
            <w:t>23</w:t>
          </w:r>
          <w:r w:rsidR="00770B00" w:rsidRPr="00E5725B">
            <w:rPr>
              <w:rFonts w:ascii="Verdana" w:hAnsi="Verdana"/>
              <w:sz w:val="18"/>
              <w:szCs w:val="18"/>
            </w:rPr>
            <w:t>.</w:t>
          </w:r>
          <w:r w:rsidR="00461CB5">
            <w:rPr>
              <w:rFonts w:ascii="Verdana" w:hAnsi="Verdana"/>
              <w:sz w:val="18"/>
              <w:szCs w:val="18"/>
            </w:rPr>
            <w:t>0</w:t>
          </w:r>
          <w:r w:rsidR="00FA794C">
            <w:rPr>
              <w:rFonts w:ascii="Verdana" w:hAnsi="Verdana"/>
              <w:sz w:val="18"/>
              <w:szCs w:val="18"/>
            </w:rPr>
            <w:t>1</w:t>
          </w:r>
          <w:r w:rsidR="00770B00" w:rsidRPr="00E5725B">
            <w:rPr>
              <w:rFonts w:ascii="Verdana" w:hAnsi="Verdana"/>
              <w:sz w:val="18"/>
              <w:szCs w:val="18"/>
            </w:rPr>
            <w:t>.2</w:t>
          </w:r>
          <w:r w:rsidR="00D653AE" w:rsidRPr="00E5725B">
            <w:rPr>
              <w:rFonts w:ascii="Verdana" w:hAnsi="Verdana"/>
              <w:sz w:val="18"/>
              <w:szCs w:val="18"/>
            </w:rPr>
            <w:t>0</w:t>
          </w:r>
          <w:r w:rsidR="00461CB5">
            <w:rPr>
              <w:rFonts w:ascii="Verdana" w:hAnsi="Verdana"/>
              <w:sz w:val="18"/>
              <w:szCs w:val="18"/>
            </w:rPr>
            <w:t>23</w:t>
          </w:r>
        </w:p>
      </w:tc>
    </w:tr>
    <w:tr w:rsidR="007D3947" w:rsidTr="00F447EA">
      <w:tc>
        <w:tcPr>
          <w:tcW w:w="2024" w:type="pct"/>
        </w:tcPr>
        <w:p w:rsidR="007D3947" w:rsidRPr="00E5725B" w:rsidRDefault="00291BC1" w:rsidP="00291BC1">
          <w:pPr>
            <w:pStyle w:val="a3"/>
            <w:jc w:val="center"/>
            <w:rPr>
              <w:rFonts w:ascii="Verdana" w:hAnsi="Verdana"/>
              <w:sz w:val="18"/>
              <w:szCs w:val="18"/>
            </w:rPr>
          </w:pPr>
          <w:r w:rsidRPr="00291BC1">
            <w:rPr>
              <w:rFonts w:ascii="Verdana" w:hAnsi="Verdana"/>
              <w:sz w:val="18"/>
              <w:szCs w:val="18"/>
            </w:rPr>
            <w:t>Строителна   лаборатория за изпитване “Пътконтрол”Благоевград</w:t>
          </w:r>
        </w:p>
      </w:tc>
      <w:tc>
        <w:tcPr>
          <w:tcW w:w="2976" w:type="pct"/>
        </w:tcPr>
        <w:p w:rsidR="007D3947" w:rsidRPr="00E5725B" w:rsidRDefault="007D3947" w:rsidP="0030388C">
          <w:pPr>
            <w:pStyle w:val="a3"/>
            <w:jc w:val="right"/>
            <w:rPr>
              <w:rFonts w:ascii="Verdana" w:hAnsi="Verdana"/>
            </w:rPr>
          </w:pPr>
          <w:r w:rsidRPr="00E5725B">
            <w:rPr>
              <w:rFonts w:ascii="Verdana" w:hAnsi="Verdana"/>
              <w:sz w:val="18"/>
              <w:szCs w:val="18"/>
            </w:rPr>
            <w:t xml:space="preserve">Страница </w:t>
          </w:r>
          <w:r w:rsidR="00114B0D" w:rsidRPr="00E5725B">
            <w:rPr>
              <w:rFonts w:ascii="Verdana" w:hAnsi="Verdana"/>
              <w:sz w:val="18"/>
              <w:szCs w:val="18"/>
            </w:rPr>
            <w:fldChar w:fldCharType="begin"/>
          </w:r>
          <w:r w:rsidRPr="00E5725B">
            <w:rPr>
              <w:rFonts w:ascii="Verdana" w:hAnsi="Verdana"/>
              <w:sz w:val="18"/>
              <w:szCs w:val="18"/>
            </w:rPr>
            <w:instrText xml:space="preserve"> PAGE </w:instrText>
          </w:r>
          <w:r w:rsidR="00114B0D" w:rsidRPr="00E5725B">
            <w:rPr>
              <w:rFonts w:ascii="Verdana" w:hAnsi="Verdana"/>
              <w:sz w:val="18"/>
              <w:szCs w:val="18"/>
            </w:rPr>
            <w:fldChar w:fldCharType="separate"/>
          </w:r>
          <w:r w:rsidR="00867ADC">
            <w:rPr>
              <w:rFonts w:ascii="Verdana" w:hAnsi="Verdana"/>
              <w:noProof/>
              <w:sz w:val="18"/>
              <w:szCs w:val="18"/>
            </w:rPr>
            <w:t>1</w:t>
          </w:r>
          <w:r w:rsidR="00114B0D" w:rsidRPr="00E5725B">
            <w:rPr>
              <w:rFonts w:ascii="Verdana" w:hAnsi="Verdana"/>
              <w:sz w:val="18"/>
              <w:szCs w:val="18"/>
            </w:rPr>
            <w:fldChar w:fldCharType="end"/>
          </w:r>
          <w:r w:rsidR="00832C2E" w:rsidRPr="00E5725B">
            <w:rPr>
              <w:rFonts w:ascii="Verdana" w:hAnsi="Verdana"/>
              <w:sz w:val="18"/>
              <w:szCs w:val="18"/>
            </w:rPr>
            <w:t xml:space="preserve"> </w:t>
          </w:r>
          <w:r w:rsidR="004804CA" w:rsidRPr="00E5725B">
            <w:rPr>
              <w:rFonts w:ascii="Verdana" w:hAnsi="Verdana"/>
              <w:sz w:val="18"/>
              <w:szCs w:val="18"/>
            </w:rPr>
            <w:t>от</w:t>
          </w:r>
          <w:r w:rsidR="00832C2E" w:rsidRPr="00E5725B">
            <w:rPr>
              <w:rFonts w:ascii="Verdana" w:hAnsi="Verdana"/>
              <w:sz w:val="18"/>
              <w:szCs w:val="18"/>
            </w:rPr>
            <w:t xml:space="preserve"> </w:t>
          </w:r>
          <w:r w:rsidR="00867ADC">
            <w:rPr>
              <w:rFonts w:ascii="Verdana" w:hAnsi="Verdana"/>
              <w:sz w:val="18"/>
              <w:szCs w:val="18"/>
            </w:rPr>
            <w:t>4</w:t>
          </w:r>
        </w:p>
      </w:tc>
    </w:tr>
  </w:tbl>
  <w:p w:rsidR="007D3947" w:rsidRDefault="00C41127">
    <w:pPr>
      <w:pStyle w:val="a3"/>
    </w:pPr>
    <w:r>
      <w:rPr>
        <w:noProof/>
        <w:sz w:val="20"/>
        <w:szCs w:val="20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8.75pt;margin-top:.15pt;width:546.65pt;height:.05pt;z-index:251660288;mso-position-horizontal-relative:text;mso-position-vertical-relative:text" o:connectortype="straigh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08D1"/>
    <w:multiLevelType w:val="hybridMultilevel"/>
    <w:tmpl w:val="D4FC7FAA"/>
    <w:lvl w:ilvl="0" w:tplc="F57AD922">
      <w:start w:val="1"/>
      <w:numFmt w:val="bullet"/>
      <w:lvlText w:val="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6688B"/>
    <w:multiLevelType w:val="hybridMultilevel"/>
    <w:tmpl w:val="3CBC6EDE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77BD8"/>
    <w:multiLevelType w:val="hybridMultilevel"/>
    <w:tmpl w:val="E1225DEE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B0113"/>
    <w:multiLevelType w:val="hybridMultilevel"/>
    <w:tmpl w:val="0E46CE2C"/>
    <w:lvl w:ilvl="0" w:tplc="60C027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17C56"/>
    <w:multiLevelType w:val="hybridMultilevel"/>
    <w:tmpl w:val="A1140F36"/>
    <w:lvl w:ilvl="0" w:tplc="AD4E149E">
      <w:start w:val="1"/>
      <w:numFmt w:val="bullet"/>
      <w:lvlText w:val="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F61B07"/>
    <w:multiLevelType w:val="hybridMultilevel"/>
    <w:tmpl w:val="A2508712"/>
    <w:lvl w:ilvl="0" w:tplc="AD4E149E">
      <w:start w:val="1"/>
      <w:numFmt w:val="bullet"/>
      <w:lvlText w:val="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947"/>
    <w:rsid w:val="00011FBA"/>
    <w:rsid w:val="00013EAC"/>
    <w:rsid w:val="00017FEA"/>
    <w:rsid w:val="00052AFB"/>
    <w:rsid w:val="00053745"/>
    <w:rsid w:val="0006072B"/>
    <w:rsid w:val="00064349"/>
    <w:rsid w:val="000730DA"/>
    <w:rsid w:val="00081897"/>
    <w:rsid w:val="000910F5"/>
    <w:rsid w:val="000925FD"/>
    <w:rsid w:val="00095C88"/>
    <w:rsid w:val="000A6EC2"/>
    <w:rsid w:val="000B3DA9"/>
    <w:rsid w:val="000C304A"/>
    <w:rsid w:val="000C7271"/>
    <w:rsid w:val="000D15AD"/>
    <w:rsid w:val="000D5D26"/>
    <w:rsid w:val="000D6A48"/>
    <w:rsid w:val="000E284F"/>
    <w:rsid w:val="000E2E90"/>
    <w:rsid w:val="0010466A"/>
    <w:rsid w:val="001058F7"/>
    <w:rsid w:val="00105EFB"/>
    <w:rsid w:val="00114B0D"/>
    <w:rsid w:val="00115F6D"/>
    <w:rsid w:val="001164E5"/>
    <w:rsid w:val="00121DAD"/>
    <w:rsid w:val="00126EC4"/>
    <w:rsid w:val="00147B63"/>
    <w:rsid w:val="00153154"/>
    <w:rsid w:val="001535BF"/>
    <w:rsid w:val="001577A6"/>
    <w:rsid w:val="00167268"/>
    <w:rsid w:val="00180D2E"/>
    <w:rsid w:val="00185F42"/>
    <w:rsid w:val="00191860"/>
    <w:rsid w:val="001A1210"/>
    <w:rsid w:val="001A737C"/>
    <w:rsid w:val="001B264E"/>
    <w:rsid w:val="001B786A"/>
    <w:rsid w:val="001B7C24"/>
    <w:rsid w:val="001C23D6"/>
    <w:rsid w:val="001D3375"/>
    <w:rsid w:val="001D544A"/>
    <w:rsid w:val="001E0371"/>
    <w:rsid w:val="001E338E"/>
    <w:rsid w:val="001E515C"/>
    <w:rsid w:val="001F3198"/>
    <w:rsid w:val="001F61E1"/>
    <w:rsid w:val="001F6EBC"/>
    <w:rsid w:val="002051FC"/>
    <w:rsid w:val="00214D28"/>
    <w:rsid w:val="002375E4"/>
    <w:rsid w:val="002407EF"/>
    <w:rsid w:val="002427D8"/>
    <w:rsid w:val="00250C6A"/>
    <w:rsid w:val="00270569"/>
    <w:rsid w:val="002707BF"/>
    <w:rsid w:val="00274516"/>
    <w:rsid w:val="00275BB2"/>
    <w:rsid w:val="00284B63"/>
    <w:rsid w:val="00290836"/>
    <w:rsid w:val="00291BC1"/>
    <w:rsid w:val="002B4AE0"/>
    <w:rsid w:val="002C12E3"/>
    <w:rsid w:val="002D6831"/>
    <w:rsid w:val="002E040E"/>
    <w:rsid w:val="002E1CA4"/>
    <w:rsid w:val="002E4B75"/>
    <w:rsid w:val="002E675C"/>
    <w:rsid w:val="002F41FD"/>
    <w:rsid w:val="0030388C"/>
    <w:rsid w:val="00313EC7"/>
    <w:rsid w:val="00314BBA"/>
    <w:rsid w:val="00333042"/>
    <w:rsid w:val="00346FA2"/>
    <w:rsid w:val="00361613"/>
    <w:rsid w:val="00377B77"/>
    <w:rsid w:val="00383A50"/>
    <w:rsid w:val="003A1AA6"/>
    <w:rsid w:val="003A7C06"/>
    <w:rsid w:val="003B0464"/>
    <w:rsid w:val="003B52E2"/>
    <w:rsid w:val="003E1182"/>
    <w:rsid w:val="003E14E4"/>
    <w:rsid w:val="003E716F"/>
    <w:rsid w:val="003E73AF"/>
    <w:rsid w:val="003F30F2"/>
    <w:rsid w:val="00404537"/>
    <w:rsid w:val="00410335"/>
    <w:rsid w:val="00413077"/>
    <w:rsid w:val="00413AAB"/>
    <w:rsid w:val="00425243"/>
    <w:rsid w:val="00445397"/>
    <w:rsid w:val="00446039"/>
    <w:rsid w:val="00451881"/>
    <w:rsid w:val="004606AD"/>
    <w:rsid w:val="00461CB5"/>
    <w:rsid w:val="00461EC4"/>
    <w:rsid w:val="004705C9"/>
    <w:rsid w:val="0047399E"/>
    <w:rsid w:val="004742AD"/>
    <w:rsid w:val="004744DE"/>
    <w:rsid w:val="00475890"/>
    <w:rsid w:val="004801E2"/>
    <w:rsid w:val="004804CA"/>
    <w:rsid w:val="004852C2"/>
    <w:rsid w:val="00487A4F"/>
    <w:rsid w:val="00490507"/>
    <w:rsid w:val="004923BB"/>
    <w:rsid w:val="004A6F25"/>
    <w:rsid w:val="004B06CB"/>
    <w:rsid w:val="004B1D02"/>
    <w:rsid w:val="004B7201"/>
    <w:rsid w:val="004C5F03"/>
    <w:rsid w:val="004D1E8E"/>
    <w:rsid w:val="004D6F04"/>
    <w:rsid w:val="004E3C5D"/>
    <w:rsid w:val="004F1210"/>
    <w:rsid w:val="004F23A5"/>
    <w:rsid w:val="00501277"/>
    <w:rsid w:val="005174CD"/>
    <w:rsid w:val="00517527"/>
    <w:rsid w:val="00526EB3"/>
    <w:rsid w:val="005368BC"/>
    <w:rsid w:val="005402EB"/>
    <w:rsid w:val="0054306B"/>
    <w:rsid w:val="005431CB"/>
    <w:rsid w:val="005456C0"/>
    <w:rsid w:val="0055258E"/>
    <w:rsid w:val="005527A1"/>
    <w:rsid w:val="00561924"/>
    <w:rsid w:val="00566780"/>
    <w:rsid w:val="00576375"/>
    <w:rsid w:val="00581033"/>
    <w:rsid w:val="00582994"/>
    <w:rsid w:val="0058377A"/>
    <w:rsid w:val="005A2823"/>
    <w:rsid w:val="005A2AE7"/>
    <w:rsid w:val="005B306A"/>
    <w:rsid w:val="005B5EDB"/>
    <w:rsid w:val="005C2AE6"/>
    <w:rsid w:val="005D4792"/>
    <w:rsid w:val="005E055E"/>
    <w:rsid w:val="005E5DB1"/>
    <w:rsid w:val="0061023C"/>
    <w:rsid w:val="006276F2"/>
    <w:rsid w:val="00644E9E"/>
    <w:rsid w:val="0064686A"/>
    <w:rsid w:val="00653157"/>
    <w:rsid w:val="00661718"/>
    <w:rsid w:val="0066733C"/>
    <w:rsid w:val="006710E1"/>
    <w:rsid w:val="00673138"/>
    <w:rsid w:val="0069197A"/>
    <w:rsid w:val="006B1757"/>
    <w:rsid w:val="006B4D59"/>
    <w:rsid w:val="006D6CFC"/>
    <w:rsid w:val="006E560F"/>
    <w:rsid w:val="006F2A74"/>
    <w:rsid w:val="006F5B4C"/>
    <w:rsid w:val="0071657C"/>
    <w:rsid w:val="00716CC9"/>
    <w:rsid w:val="00724E3E"/>
    <w:rsid w:val="00731AC6"/>
    <w:rsid w:val="00742FCF"/>
    <w:rsid w:val="00743650"/>
    <w:rsid w:val="007446DE"/>
    <w:rsid w:val="007525A8"/>
    <w:rsid w:val="00753071"/>
    <w:rsid w:val="0076750C"/>
    <w:rsid w:val="00767ECF"/>
    <w:rsid w:val="00770B00"/>
    <w:rsid w:val="00782FCF"/>
    <w:rsid w:val="00783D39"/>
    <w:rsid w:val="00790B95"/>
    <w:rsid w:val="007924A4"/>
    <w:rsid w:val="00793F02"/>
    <w:rsid w:val="007A3A80"/>
    <w:rsid w:val="007B0C0A"/>
    <w:rsid w:val="007B54AC"/>
    <w:rsid w:val="007C3D27"/>
    <w:rsid w:val="007D3947"/>
    <w:rsid w:val="007D3B6A"/>
    <w:rsid w:val="007E4F36"/>
    <w:rsid w:val="007F0B1A"/>
    <w:rsid w:val="007F1E51"/>
    <w:rsid w:val="007F577E"/>
    <w:rsid w:val="0081035C"/>
    <w:rsid w:val="00823D96"/>
    <w:rsid w:val="008253BA"/>
    <w:rsid w:val="00832B38"/>
    <w:rsid w:val="00832C2E"/>
    <w:rsid w:val="00840485"/>
    <w:rsid w:val="00840C4B"/>
    <w:rsid w:val="00842922"/>
    <w:rsid w:val="00852DFD"/>
    <w:rsid w:val="00867ADC"/>
    <w:rsid w:val="00874075"/>
    <w:rsid w:val="00895D80"/>
    <w:rsid w:val="008A17B7"/>
    <w:rsid w:val="008A488B"/>
    <w:rsid w:val="008A6CDD"/>
    <w:rsid w:val="008C0088"/>
    <w:rsid w:val="008C563C"/>
    <w:rsid w:val="008C59FD"/>
    <w:rsid w:val="008D07B6"/>
    <w:rsid w:val="008E43D6"/>
    <w:rsid w:val="008F7591"/>
    <w:rsid w:val="00900F70"/>
    <w:rsid w:val="00911621"/>
    <w:rsid w:val="0091359B"/>
    <w:rsid w:val="0091383D"/>
    <w:rsid w:val="00934531"/>
    <w:rsid w:val="00976CA8"/>
    <w:rsid w:val="00982135"/>
    <w:rsid w:val="009835BF"/>
    <w:rsid w:val="009866CE"/>
    <w:rsid w:val="00992D19"/>
    <w:rsid w:val="009B02D9"/>
    <w:rsid w:val="009B3DA8"/>
    <w:rsid w:val="009C016B"/>
    <w:rsid w:val="009C574E"/>
    <w:rsid w:val="009C7ADA"/>
    <w:rsid w:val="009D40E2"/>
    <w:rsid w:val="00A1137B"/>
    <w:rsid w:val="00A1476D"/>
    <w:rsid w:val="00A20001"/>
    <w:rsid w:val="00A21331"/>
    <w:rsid w:val="00A219CB"/>
    <w:rsid w:val="00A3043C"/>
    <w:rsid w:val="00A304BC"/>
    <w:rsid w:val="00A31C93"/>
    <w:rsid w:val="00A40B14"/>
    <w:rsid w:val="00A44FD2"/>
    <w:rsid w:val="00A51DC9"/>
    <w:rsid w:val="00A5308E"/>
    <w:rsid w:val="00A60B52"/>
    <w:rsid w:val="00A612C2"/>
    <w:rsid w:val="00A67BBC"/>
    <w:rsid w:val="00A67ECB"/>
    <w:rsid w:val="00A72BF2"/>
    <w:rsid w:val="00A769D1"/>
    <w:rsid w:val="00A92A76"/>
    <w:rsid w:val="00AA4111"/>
    <w:rsid w:val="00AA687E"/>
    <w:rsid w:val="00AB02F3"/>
    <w:rsid w:val="00AB2144"/>
    <w:rsid w:val="00AD1FA8"/>
    <w:rsid w:val="00AD3822"/>
    <w:rsid w:val="00B03AE6"/>
    <w:rsid w:val="00B10DD1"/>
    <w:rsid w:val="00B25BF5"/>
    <w:rsid w:val="00B362D9"/>
    <w:rsid w:val="00B36625"/>
    <w:rsid w:val="00B47CC1"/>
    <w:rsid w:val="00B57BE6"/>
    <w:rsid w:val="00B57C51"/>
    <w:rsid w:val="00B70632"/>
    <w:rsid w:val="00B75AD9"/>
    <w:rsid w:val="00B811D9"/>
    <w:rsid w:val="00B850B8"/>
    <w:rsid w:val="00BA48FB"/>
    <w:rsid w:val="00BA6C6F"/>
    <w:rsid w:val="00BA79A2"/>
    <w:rsid w:val="00BC047C"/>
    <w:rsid w:val="00BC137A"/>
    <w:rsid w:val="00BF312B"/>
    <w:rsid w:val="00BF71F0"/>
    <w:rsid w:val="00C01B16"/>
    <w:rsid w:val="00C17D0E"/>
    <w:rsid w:val="00C25907"/>
    <w:rsid w:val="00C41127"/>
    <w:rsid w:val="00C42932"/>
    <w:rsid w:val="00C64713"/>
    <w:rsid w:val="00C65B92"/>
    <w:rsid w:val="00C74706"/>
    <w:rsid w:val="00C74B3D"/>
    <w:rsid w:val="00C81256"/>
    <w:rsid w:val="00C81A28"/>
    <w:rsid w:val="00C8691B"/>
    <w:rsid w:val="00CA1E03"/>
    <w:rsid w:val="00CD5400"/>
    <w:rsid w:val="00CE7695"/>
    <w:rsid w:val="00CF19FF"/>
    <w:rsid w:val="00CF1A36"/>
    <w:rsid w:val="00CF2FFF"/>
    <w:rsid w:val="00CF3FF6"/>
    <w:rsid w:val="00D105CA"/>
    <w:rsid w:val="00D2263A"/>
    <w:rsid w:val="00D2399F"/>
    <w:rsid w:val="00D305A4"/>
    <w:rsid w:val="00D336AA"/>
    <w:rsid w:val="00D441DD"/>
    <w:rsid w:val="00D530B8"/>
    <w:rsid w:val="00D62F72"/>
    <w:rsid w:val="00D653AE"/>
    <w:rsid w:val="00D71D25"/>
    <w:rsid w:val="00D738E3"/>
    <w:rsid w:val="00D74AC6"/>
    <w:rsid w:val="00DA4365"/>
    <w:rsid w:val="00DB2F53"/>
    <w:rsid w:val="00DE72DE"/>
    <w:rsid w:val="00E0329B"/>
    <w:rsid w:val="00E045EA"/>
    <w:rsid w:val="00E14005"/>
    <w:rsid w:val="00E15B32"/>
    <w:rsid w:val="00E163D3"/>
    <w:rsid w:val="00E1734C"/>
    <w:rsid w:val="00E248AD"/>
    <w:rsid w:val="00E327B2"/>
    <w:rsid w:val="00E331F4"/>
    <w:rsid w:val="00E3481B"/>
    <w:rsid w:val="00E448C5"/>
    <w:rsid w:val="00E512FA"/>
    <w:rsid w:val="00E5725B"/>
    <w:rsid w:val="00E63FB9"/>
    <w:rsid w:val="00E71A8A"/>
    <w:rsid w:val="00E730BC"/>
    <w:rsid w:val="00E736F6"/>
    <w:rsid w:val="00E912C9"/>
    <w:rsid w:val="00E915DC"/>
    <w:rsid w:val="00E95B19"/>
    <w:rsid w:val="00EA071B"/>
    <w:rsid w:val="00EA19A9"/>
    <w:rsid w:val="00EB2430"/>
    <w:rsid w:val="00ED4014"/>
    <w:rsid w:val="00EE1AA2"/>
    <w:rsid w:val="00EE2038"/>
    <w:rsid w:val="00EE5DDE"/>
    <w:rsid w:val="00EE676E"/>
    <w:rsid w:val="00EF4E5C"/>
    <w:rsid w:val="00F11250"/>
    <w:rsid w:val="00F1180C"/>
    <w:rsid w:val="00F26400"/>
    <w:rsid w:val="00F304E2"/>
    <w:rsid w:val="00F317FF"/>
    <w:rsid w:val="00F36077"/>
    <w:rsid w:val="00F41516"/>
    <w:rsid w:val="00F41BE0"/>
    <w:rsid w:val="00F4426A"/>
    <w:rsid w:val="00F447EA"/>
    <w:rsid w:val="00F50694"/>
    <w:rsid w:val="00F951BB"/>
    <w:rsid w:val="00FA3041"/>
    <w:rsid w:val="00FA48A8"/>
    <w:rsid w:val="00FA794C"/>
    <w:rsid w:val="00FB5956"/>
    <w:rsid w:val="00FC5053"/>
    <w:rsid w:val="00FC53D2"/>
    <w:rsid w:val="00FC72AA"/>
    <w:rsid w:val="00FD4812"/>
    <w:rsid w:val="00FD7B1B"/>
    <w:rsid w:val="00FD7E8E"/>
    <w:rsid w:val="00FE46A8"/>
    <w:rsid w:val="00FE4C6C"/>
    <w:rsid w:val="00FF0C46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D94F53"/>
  <w15:docId w15:val="{1A4CD49F-A2B7-4A5D-9F2A-6C2A36F2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D3947"/>
  </w:style>
  <w:style w:type="paragraph" w:styleId="a5">
    <w:name w:val="footer"/>
    <w:basedOn w:val="a"/>
    <w:link w:val="a6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D3947"/>
  </w:style>
  <w:style w:type="character" w:styleId="a7">
    <w:name w:val="Placeholder Text"/>
    <w:basedOn w:val="a0"/>
    <w:uiPriority w:val="99"/>
    <w:semiHidden/>
    <w:rsid w:val="007D394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D394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D3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 Indent"/>
    <w:basedOn w:val="a"/>
    <w:link w:val="ac"/>
    <w:rsid w:val="00A60B52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ен текст с отстъп Знак"/>
    <w:basedOn w:val="a0"/>
    <w:link w:val="ab"/>
    <w:rsid w:val="00A60B52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rmal (Web)"/>
    <w:basedOn w:val="a"/>
    <w:rsid w:val="00E3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e">
    <w:name w:val="Strong"/>
    <w:basedOn w:val="a0"/>
    <w:qFormat/>
    <w:rsid w:val="00E3481B"/>
    <w:rPr>
      <w:b/>
      <w:bCs/>
    </w:rPr>
  </w:style>
  <w:style w:type="character" w:customStyle="1" w:styleId="apple-converted-space">
    <w:name w:val="apple-converted-space"/>
    <w:basedOn w:val="a0"/>
    <w:rsid w:val="00E34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F88A-8290-461C-B93C-EBFD25C2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ACER</cp:lastModifiedBy>
  <cp:revision>249</cp:revision>
  <dcterms:created xsi:type="dcterms:W3CDTF">2018-05-08T12:14:00Z</dcterms:created>
  <dcterms:modified xsi:type="dcterms:W3CDTF">2026-07-27T07:56:00Z</dcterms:modified>
</cp:coreProperties>
</file>